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Label"/>
      </w:pPr>
      <w:r>
        <w:t>LIVING IN JAPAN / MARKET INSIGHT</w:t>
      </w:r>
    </w:p>
    <w:p>
      <w:pPr>
        <w:pStyle w:val="Title"/>
      </w:pPr>
      <w:r>
        <w:t>Japan's Quiet Reawakening</w:t>
      </w:r>
    </w:p>
    <w:p>
      <w:r>
        <w:rPr>
          <w:b/>
          <w:color w:val="2E5D7B"/>
          <w:sz w:val="30"/>
        </w:rPr>
        <w:t>World-Class Living, Unexpected Value and a New Economic Cycle</w:t>
      </w:r>
    </w:p>
    <w:tbl>
      <w:tblPr>
        <w:tblStyle w:val="TableGrid"/>
        <w:tblW w:type="auto" w:w="0"/>
        <w:jc w:val="left"/>
        <w:tblLook w:firstColumn="1" w:firstRow="1" w:lastColumn="0" w:lastRow="0" w:noHBand="0" w:noVBand="1" w:val="04A0"/>
      </w:tblPr>
      <w:tblGrid>
        <w:gridCol w:w="4997"/>
        <w:gridCol w:w="4997"/>
      </w:tblGrid>
      <w:tr>
        <w:tc>
          <w:tcPr>
            <w:tcW w:type="dxa" w:w="4997"/>
            <w:shd w:fill="E9EEF2"/>
            <w:tcMar>
              <w:top w:w="90" w:type="dxa"/>
              <w:start w:w="110" w:type="dxa"/>
              <w:bottom w:w="90" w:type="dxa"/>
              <w:end w:w="110" w:type="dxa"/>
            </w:tcMar>
          </w:tcPr>
          <w:p>
            <w:r>
              <w:rPr>
                <w:b/>
                <w:color w:val="17324D"/>
              </w:rPr>
              <w:t>Suggested slug</w:t>
            </w:r>
          </w:p>
        </w:tc>
        <w:tc>
          <w:tcPr>
            <w:tcW w:type="dxa" w:w="4997"/>
            <w:tcMar>
              <w:top w:w="90" w:type="dxa"/>
              <w:start w:w="110" w:type="dxa"/>
              <w:bottom w:w="90" w:type="dxa"/>
              <w:end w:w="110" w:type="dxa"/>
            </w:tcMar>
          </w:tcPr>
          <w:p>
            <w:r>
              <w:t>kiji-japan-quiet-reawakening.html</w:t>
            </w:r>
          </w:p>
        </w:tc>
      </w:tr>
      <w:tr>
        <w:tc>
          <w:tcPr>
            <w:tcW w:type="dxa" w:w="4997"/>
            <w:shd w:fill="E9EEF2"/>
            <w:tcMar>
              <w:top w:w="90" w:type="dxa"/>
              <w:start w:w="110" w:type="dxa"/>
              <w:bottom w:w="90" w:type="dxa"/>
              <w:end w:w="110" w:type="dxa"/>
            </w:tcMar>
          </w:tcPr>
          <w:p>
            <w:r>
              <w:rPr>
                <w:b/>
                <w:color w:val="17324D"/>
              </w:rPr>
              <w:t>Date / author</w:t>
            </w:r>
          </w:p>
        </w:tc>
        <w:tc>
          <w:tcPr>
            <w:tcW w:type="dxa" w:w="4997"/>
            <w:tcMar>
              <w:top w:w="90" w:type="dxa"/>
              <w:start w:w="110" w:type="dxa"/>
              <w:bottom w:w="90" w:type="dxa"/>
              <w:end w:w="110" w:type="dxa"/>
            </w:tcMar>
          </w:tcPr>
          <w:p>
            <w:r>
              <w:t>6 July 2026  |  Zun XaXeXu</w:t>
            </w:r>
          </w:p>
        </w:tc>
      </w:tr>
      <w:tr>
        <w:tc>
          <w:tcPr>
            <w:tcW w:type="dxa" w:w="4997"/>
            <w:shd w:fill="E9EEF2"/>
            <w:tcMar>
              <w:top w:w="90" w:type="dxa"/>
              <w:start w:w="110" w:type="dxa"/>
              <w:bottom w:w="90" w:type="dxa"/>
              <w:end w:w="110" w:type="dxa"/>
            </w:tcMar>
          </w:tcPr>
          <w:p>
            <w:r>
              <w:rPr>
                <w:b/>
                <w:color w:val="17324D"/>
              </w:rPr>
              <w:t>Read time</w:t>
            </w:r>
          </w:p>
        </w:tc>
        <w:tc>
          <w:tcPr>
            <w:tcW w:type="dxa" w:w="4997"/>
            <w:tcMar>
              <w:top w:w="90" w:type="dxa"/>
              <w:start w:w="110" w:type="dxa"/>
              <w:bottom w:w="90" w:type="dxa"/>
              <w:end w:w="110" w:type="dxa"/>
            </w:tcMar>
          </w:tcPr>
          <w:p>
            <w:r>
              <w:t>11 min  |  Source-backed</w:t>
            </w:r>
          </w:p>
        </w:tc>
      </w:tr>
      <w:tr>
        <w:tc>
          <w:tcPr>
            <w:tcW w:type="dxa" w:w="4997"/>
            <w:shd w:fill="E9EEF2"/>
            <w:tcMar>
              <w:top w:w="90" w:type="dxa"/>
              <w:start w:w="110" w:type="dxa"/>
              <w:bottom w:w="90" w:type="dxa"/>
              <w:end w:w="110" w:type="dxa"/>
            </w:tcMar>
          </w:tcPr>
          <w:p>
            <w:r>
              <w:rPr>
                <w:b/>
                <w:color w:val="17324D"/>
              </w:rPr>
              <w:t>Status</w:t>
            </w:r>
          </w:p>
        </w:tc>
        <w:tc>
          <w:tcPr>
            <w:tcW w:type="dxa" w:w="4997"/>
            <w:tcMar>
              <w:top w:w="90" w:type="dxa"/>
              <w:start w:w="110" w:type="dxa"/>
              <w:bottom w:w="90" w:type="dxa"/>
              <w:end w:w="110" w:type="dxa"/>
            </w:tcMar>
          </w:tcPr>
          <w:p>
            <w:r>
              <w:t>Research complete  |  Ready for GAISAPP web build</w:t>
            </w:r>
          </w:p>
        </w:tc>
      </w:tr>
    </w:tbl>
    <w:p/>
    <w:tbl>
      <w:tblPr>
        <w:tblW w:type="auto" w:w="0"/>
        <w:jc w:val="center"/>
        <w:tblLook w:firstColumn="1" w:firstRow="1" w:lastColumn="0" w:lastRow="0" w:noHBand="0" w:noVBand="1" w:val="04A0"/>
      </w:tblPr>
      <w:tblGrid>
        <w:gridCol w:w="9994"/>
      </w:tblGrid>
      <w:tr>
        <w:tc>
          <w:tcPr>
            <w:tcW w:type="dxa" w:w="9994"/>
            <w:shd w:fill="F3F6F8"/>
            <w:tcMar>
              <w:top w:w="170" w:type="dxa"/>
              <w:start w:w="210" w:type="dxa"/>
              <w:bottom w:w="170" w:type="dxa"/>
              <w:end w:w="210" w:type="dxa"/>
            </w:tcMar>
          </w:tcPr>
          <w:p>
            <w:r>
              <w:rPr>
                <w:b/>
                <w:color w:val="17324D"/>
                <w:sz w:val="18"/>
              </w:rPr>
              <w:t>EDITORIAL THESIS</w:t>
            </w:r>
          </w:p>
          <w:p>
            <w:pPr>
              <w:spacing w:after="0"/>
            </w:pPr>
            <w:r>
              <w:t>Japan's opportunity is not a simplistic 'cheap country' or 'economic boom' story. The stronger thesis is that a top-tier urban system still offers unusually dense everyday value relative to global peers, while the economy is moving from deflationary caution toward wage growth, strategic investment, inbound demand and urban concentration. The opportunity is selective, not universal.</w:t>
            </w:r>
          </w:p>
        </w:tc>
      </w:tr>
    </w:tbl>
    <w:p>
      <w:pPr>
        <w:pStyle w:val="Heading1"/>
      </w:pPr>
      <w:r>
        <w:t>Editorial Brief</w:t>
      </w:r>
    </w:p>
    <w:p>
      <w:r>
        <w:rPr>
          <w:b/>
          <w:color w:val="17324D"/>
        </w:rPr>
        <w:t xml:space="preserve">Audience: </w:t>
      </w:r>
      <w:r>
        <w:t>International residents, executives, entrepreneurs, families and property investors evaluating Japan and Tokyo.</w:t>
      </w:r>
    </w:p>
    <w:p>
      <w:r>
        <w:rPr>
          <w:b/>
          <w:color w:val="17324D"/>
        </w:rPr>
        <w:t xml:space="preserve">Tone: </w:t>
      </w:r>
      <w:r>
        <w:t>Premium, evidence-led, confident but balanced; lifestyle value first, investment implications second.</w:t>
      </w:r>
    </w:p>
    <w:p>
      <w:r>
        <w:rPr>
          <w:b/>
          <w:color w:val="17324D"/>
        </w:rPr>
        <w:t xml:space="preserve">Main argument: </w:t>
      </w:r>
      <w:r>
        <w:t>Japan is not inexpensive because it offers less. Its unusual proposition is that global-city infrastructure, safety, service quality and mobility still coexist with housing costs that compare favourably with many peer cities, even as Tokyo rents and values reprice upward.</w:t>
      </w:r>
    </w:p>
    <w:p>
      <w:r>
        <w:rPr>
          <w:b/>
          <w:color w:val="17324D"/>
        </w:rPr>
        <w:t xml:space="preserve">Primary CTA: </w:t>
      </w:r>
      <w:r>
        <w:t>Book a Private Consultation → consultation.html?service=consultation</w:t>
      </w:r>
    </w:p>
    <w:p>
      <w:pPr>
        <w:pStyle w:val="Heading2"/>
      </w:pPr>
      <w:r>
        <w:t>Key Data Points to Preserve</w:t>
      </w:r>
    </w:p>
    <w:p>
      <w:pPr>
        <w:pStyle w:val="ListBullet"/>
      </w:pPr>
      <w:r>
        <w:t>Tokyo ranked No. 1 in Monocle’s 2026 Quality of Life Survey; Mori Memorial Foundation’s GPCI 2025 placed Tokyo No. 2 overall and No. 1 in Livability.</w:t>
      </w:r>
    </w:p>
    <w:p>
      <w:pPr>
        <w:pStyle w:val="ListBullet"/>
      </w:pPr>
      <w:r>
        <w:t>JREI’s October 2025 high-end condominium rent benchmark (Tokyo Moto-Azabu = 100) placed New York at 279.2 and London at 278.2, versus Tokyo at 100. This is a high-end appraisal benchmark, not average household rent.</w:t>
      </w:r>
    </w:p>
    <w:p>
      <w:pPr>
        <w:pStyle w:val="ListBullet"/>
      </w:pPr>
      <w:r>
        <w:t>Tokyo Metro regular tickets currently range from ¥180 to ¥330 by distance.</w:t>
      </w:r>
    </w:p>
    <w:p>
      <w:pPr>
        <w:pStyle w:val="ListBullet"/>
      </w:pPr>
      <w:r>
        <w:t>For insured people aged 6 to 69, Japan’s public health-insurance framework generally reduces point-of-service payment to 30% of covered medical expenses; premiums and non-covered services are separate.</w:t>
      </w:r>
    </w:p>
    <w:p>
      <w:pPr>
        <w:pStyle w:val="ListBullet"/>
      </w:pPr>
      <w:r>
        <w:t>Rengo’s final 2026 spring wage tally was 5.01%, following 5.25% in 2025 and 5.10% in 2024.</w:t>
      </w:r>
    </w:p>
    <w:p>
      <w:pPr>
        <w:pStyle w:val="ListBullet"/>
      </w:pPr>
      <w:r>
        <w:t>OECD’s June 2026 outlook projects real GDP growth of 0.6% in 2026 and 0.8% in 2027: a moderate-growth economy, not a conventional boom.</w:t>
      </w:r>
    </w:p>
    <w:p>
      <w:pPr>
        <w:pStyle w:val="ListBullet"/>
      </w:pPr>
      <w:r>
        <w:t>Japan’s 2026 Growth Strategy draft maps more than ¥370 trillion of cumulative public-private domestic investment through FY2040 across strategic sectors and technologies; this is a policy roadmap, not guaranteed realised investment.</w:t>
      </w:r>
    </w:p>
    <w:p>
      <w:pPr>
        <w:pStyle w:val="ListBullet"/>
      </w:pPr>
      <w:r>
        <w:t>2025 inbound visitors reached 42.68 million, and final inbound travel spending reached ¥9.4549 trillion.</w:t>
      </w:r>
    </w:p>
    <w:p>
      <w:pPr>
        <w:pStyle w:val="ListBullet"/>
      </w:pPr>
      <w:r>
        <w:t>The government targets an inward FDI stock balance of ¥120 trillion by 2030.</w:t>
      </w:r>
    </w:p>
    <w:p>
      <w:pPr>
        <w:pStyle w:val="ListBullet"/>
      </w:pPr>
      <w:r>
        <w:t>Savills Q1 2026: average rents were ¥4,698/m² across Tokyo’s 23 wards (+3.3% YoY) and ¥5,751/m² in the central five wards (+4.1% YoY).</w:t>
      </w:r>
    </w:p>
    <w:p>
      <w:pPr>
        <w:pStyle w:val="Heading2"/>
      </w:pPr>
      <w:r>
        <w:t>Visual Direction</w:t>
      </w:r>
    </w:p>
    <w:p>
      <w:r>
        <w:rPr>
          <w:b/>
        </w:rPr>
        <w:t xml:space="preserve">Hero image recommendation: </w:t>
      </w:r>
      <w:r>
        <w:t>a real Tokyo neighborhood scene that combines rail or station access, pedestrians, local retail and mid-rise residential buildings. Avoid a generic skyline-only image; the story is about lived urban value, not tourism spectacle.</w:t>
      </w:r>
    </w:p>
    <w:p>
      <w:r>
        <w:rPr>
          <w:b/>
        </w:rPr>
        <w:t xml:space="preserve">Alt text: </w:t>
      </w:r>
      <w:r>
        <w:t>Everyday Tokyo neighborhood with rail access, local shops and residential buildings, illustrating the city’s low-friction urban life.</w:t>
      </w:r>
    </w:p>
    <w:p>
      <w:r>
        <w:rPr>
          <w:b/>
        </w:rPr>
        <w:t xml:space="preserve">File path: </w:t>
      </w:r>
      <w:r>
        <w:t>assets/img/articles/japan-quiet-reawakening-hero.jpg</w:t>
      </w:r>
    </w:p>
    <w:p>
      <w:pPr>
        <w:pStyle w:val="Heading1"/>
      </w:pPr>
      <w:r>
        <w:t>Web-Ready Article Copy</w:t>
      </w:r>
    </w:p>
    <w:p>
      <w:pPr>
        <w:pStyle w:val="Label"/>
      </w:pPr>
      <w:r>
        <w:t>LIVING IN JAPAN / MARKET INSIGHT</w:t>
      </w:r>
    </w:p>
    <w:p>
      <w:pPr>
        <w:pStyle w:val="Heading1"/>
      </w:pPr>
      <w:r>
        <w:t>Japan's Quiet Reawakening: World-Class Living, Unexpected Value and a New Economic Cycle</w:t>
      </w:r>
    </w:p>
    <w:p>
      <w:r>
        <w:rPr>
          <w:i/>
          <w:color w:val="49535C"/>
          <w:sz w:val="23"/>
        </w:rPr>
        <w:t>Tokyo combines top-tier urban quality with housing costs that still compare favourably with many peer cities. At the same time, Japan is moving from decades of deflationary caution toward a new cycle of wages, investment and international demand.</w:t>
      </w:r>
    </w:p>
    <w:p>
      <w:r>
        <w:rPr>
          <w:color w:val="6D7781"/>
        </w:rPr>
        <w:t>6 July 2026  ·  Zun XaXeXu  ·  11 min read  ·  Source-backed</w:t>
      </w:r>
    </w:p>
    <w:p>
      <w:pPr>
        <w:pStyle w:val="Heading2"/>
      </w:pPr>
      <w:r>
        <w:t>Lead</w:t>
      </w:r>
    </w:p>
    <w:p>
      <w:r>
        <w:t>For years, Japan has been described through contradictions: technologically advanced yet slow-growing, globally admired yet economically cautious, expensive in reputation yet surprisingly moderate in many parts of daily life. In 2026, those contradictions are becoming more important for people deciding where to live, work, build a business or hold property.</w:t>
      </w:r>
    </w:p>
    <w:p>
      <w:r>
        <w:t>Tokyo now sits at the top of Monocle's 2026 Quality of Life Survey. Separately, the Mori Memorial Foundation's Global Power City Index 2025 placed Tokyo second overall and first in Livability. Rankings differ in methodology, but together they reinforce a broader point: Tokyo is not merely large. It is a deeply functional global city.</w:t>
      </w:r>
      <w:r>
        <w:t xml:space="preserve"> (Source: </w:t>
      </w:r>
      <w:hyperlink r:id="rId10">
        <w:r>
          <w:rPr>
            <w:color w:val="2E5D7B"/>
            <w:u w:val="single"/>
          </w:rPr>
          <w:t>Monocle, Quality of Life Survey 2026</w:t>
        </w:r>
      </w:hyperlink>
      <w:r>
        <w:t>)</w:t>
      </w:r>
    </w:p>
    <w:p>
      <w:r>
        <w:t>The investment case, however, should not be built on a slogan. Japan is not suddenly a high-growth economy, and Tokyo is not uniformly cheap. The more credible thesis is subtler: world-class urban utility still meets a relative value gap in selected segments, while wages, strategic investment, tourism and foreign capital are creating new demand channels. That combination deserves attention - and selectivity.</w:t>
      </w:r>
      <w:r>
        <w:t xml:space="preserve"> (Source: </w:t>
      </w:r>
      <w:hyperlink r:id="rId11">
        <w:r>
          <w:rPr>
            <w:color w:val="2E5D7B"/>
            <w:u w:val="single"/>
          </w:rPr>
          <w:t>Mori Memorial Foundation, GPCI 2025</w:t>
        </w:r>
      </w:hyperlink>
      <w:r>
        <w:t>)</w:t>
      </w:r>
    </w:p>
    <w:p>
      <w:pPr>
        <w:pStyle w:val="Heading2"/>
      </w:pPr>
      <w:r>
        <w:t>Key Takeaways</w:t>
      </w:r>
    </w:p>
    <w:tbl>
      <w:tblPr>
        <w:tblW w:type="auto" w:w="0"/>
        <w:jc w:val="center"/>
        <w:tblLayout w:type="fixed"/>
        <w:tblLook w:firstColumn="1" w:firstRow="1" w:lastColumn="0" w:lastRow="0" w:noHBand="0" w:noVBand="1" w:val="04A0"/>
      </w:tblPr>
      <w:tblGrid>
        <w:gridCol w:w="3331"/>
        <w:gridCol w:w="3331"/>
        <w:gridCol w:w="3331"/>
      </w:tblGrid>
      <w:tr>
        <w:tc>
          <w:tcPr>
            <w:tcW w:type="dxa" w:w="2952"/>
            <w:shd w:fill="F5F7F9"/>
            <w:tcMar>
              <w:top w:w="150" w:type="dxa"/>
              <w:start w:w="150" w:type="dxa"/>
              <w:bottom w:w="150" w:type="dxa"/>
              <w:end w:w="150" w:type="dxa"/>
            </w:tcMar>
          </w:tcPr>
          <w:p>
            <w:r>
              <w:rPr>
                <w:b/>
                <w:color w:val="17324D"/>
                <w:sz w:val="21"/>
              </w:rPr>
              <w:t>Global-city quality, relative value</w:t>
            </w:r>
          </w:p>
          <w:p>
            <w:pPr>
              <w:spacing w:after="0"/>
            </w:pPr>
            <w:r>
              <w:rPr>
                <w:sz w:val="18"/>
              </w:rPr>
              <w:t>Tokyo leads major liveability rankings, while JREI’s high-end rent benchmark places New York and London at almost 2.8 times Tokyo’s index level.</w:t>
            </w:r>
          </w:p>
        </w:tc>
        <w:tc>
          <w:tcPr>
            <w:tcW w:type="dxa" w:w="2952"/>
            <w:shd w:fill="EEF3F5"/>
            <w:tcMar>
              <w:top w:w="150" w:type="dxa"/>
              <w:start w:w="150" w:type="dxa"/>
              <w:bottom w:w="150" w:type="dxa"/>
              <w:end w:w="150" w:type="dxa"/>
            </w:tcMar>
          </w:tcPr>
          <w:p>
            <w:r>
              <w:rPr>
                <w:b/>
                <w:color w:val="17324D"/>
                <w:sz w:val="21"/>
              </w:rPr>
              <w:t>Investment is replacing stagnation</w:t>
            </w:r>
          </w:p>
          <w:p>
            <w:pPr>
              <w:spacing w:after="0"/>
            </w:pPr>
            <w:r>
              <w:rPr>
                <w:sz w:val="18"/>
              </w:rPr>
              <w:t>Wage settlements have held around 5% for three years, while a new government roadmap targets a much larger multi-year investment cycle.</w:t>
            </w:r>
          </w:p>
        </w:tc>
        <w:tc>
          <w:tcPr>
            <w:tcW w:type="dxa" w:w="2952"/>
            <w:shd w:fill="F5F7F9"/>
            <w:tcMar>
              <w:top w:w="150" w:type="dxa"/>
              <w:start w:w="150" w:type="dxa"/>
              <w:bottom w:w="150" w:type="dxa"/>
              <w:end w:w="150" w:type="dxa"/>
            </w:tcMar>
          </w:tcPr>
          <w:p>
            <w:r>
              <w:rPr>
                <w:b/>
                <w:color w:val="17324D"/>
                <w:sz w:val="21"/>
              </w:rPr>
              <w:t>Demand is becoming more international</w:t>
            </w:r>
          </w:p>
          <w:p>
            <w:pPr>
              <w:spacing w:after="0"/>
            </w:pPr>
            <w:r>
              <w:rPr>
                <w:sz w:val="18"/>
              </w:rPr>
              <w:t>Record inbound travel, a ¥120 trillion inward-FDI target and foreign population growth are widening the sources of demand around Japan’s major cities.</w:t>
            </w:r>
          </w:p>
        </w:tc>
      </w:tr>
    </w:tbl>
    <w:p>
      <w:pPr>
        <w:pStyle w:val="Heading2"/>
      </w:pPr>
      <w:r>
        <w:t>1. Japan's advantage is not 'cheapness' - it is value density</w:t>
      </w:r>
    </w:p>
    <w:p>
      <w:r>
        <w:t>A useful way to think about Japan is not to ask whether it is cheap in absolute terms. The better question is how much everyday utility a household receives for the total cost of living: transport access, safety, healthcare protection, service reliability, public space, food, retail access and the amount of time lost to friction.</w:t>
      </w:r>
    </w:p>
    <w:p>
      <w:r>
        <w:t>Monocle's Tokyo analysis highlights the city's safety, late-night activity and dense transport access; it reports that about 84% of the area inside Loop Road No. 7 is within a ten-minute walk of a train station. This is an editorial survey rather than an official transport census, but it captures an everyday reality that matters economically: access reduces time costs and expands the number of jobs, schools, services and neighborhoods reachable without a car.</w:t>
      </w:r>
      <w:r>
        <w:t xml:space="preserve"> (Source: </w:t>
      </w:r>
      <w:hyperlink r:id="rId10">
        <w:r>
          <w:rPr>
            <w:color w:val="2E5D7B"/>
            <w:u w:val="single"/>
          </w:rPr>
          <w:t>Monocle Tokyo analysis, 2026</w:t>
        </w:r>
      </w:hyperlink>
      <w:r>
        <w:t>)</w:t>
      </w:r>
    </w:p>
    <w:p>
      <w:r>
        <w:t>The cost of that mobility is also unusually legible. Tokyo Metro regular tickets are distance-based and currently range from ¥180 to ¥330. A resident does not buy a home only in square metres; in Tokyo, a large part of residential value is the network of destinations that can be reached reliably from the nearest station.</w:t>
      </w:r>
      <w:r>
        <w:t xml:space="preserve"> (Source: </w:t>
      </w:r>
      <w:hyperlink r:id="rId12">
        <w:r>
          <w:rPr>
            <w:color w:val="2E5D7B"/>
            <w:u w:val="single"/>
          </w:rPr>
          <w:t>Tokyo Metro fare schedule</w:t>
        </w:r>
      </w:hyperlink>
      <w:r>
        <w:t>)</w:t>
      </w:r>
    </w:p>
    <w:p>
      <w:r>
        <w:t>Healthcare is another component that simple rent comparisons miss. Under Japan's insured medical framework, people aged 6 to 69 can generally receive covered medical services while paying 30% of the total medical expense at the point of service, with other rates applying by age and income. This does not mean healthcare is free: insurance premiums, taxes and non-covered services remain separate. But it changes the household risk profile compared with systems that require much larger direct exposure.</w:t>
      </w:r>
      <w:r>
        <w:t xml:space="preserve"> (Source: </w:t>
      </w:r>
      <w:hyperlink r:id="rId13">
        <w:r>
          <w:rPr>
            <w:color w:val="2E5D7B"/>
            <w:u w:val="single"/>
          </w:rPr>
          <w:t>Ministry of Health, Labour and Welfare</w:t>
        </w:r>
      </w:hyperlink>
      <w:r>
        <w:t>)</w:t>
      </w:r>
    </w:p>
    <w:tbl>
      <w:tblPr>
        <w:tblW w:type="auto" w:w="0"/>
        <w:jc w:val="center"/>
        <w:tblLook w:firstColumn="1" w:firstRow="1" w:lastColumn="0" w:lastRow="0" w:noHBand="0" w:noVBand="1" w:val="04A0"/>
      </w:tblPr>
      <w:tblGrid>
        <w:gridCol w:w="9994"/>
      </w:tblGrid>
      <w:tr>
        <w:tc>
          <w:tcPr>
            <w:tcW w:type="dxa" w:w="9994"/>
            <w:shd w:fill="F3F6F8"/>
            <w:tcMar>
              <w:top w:w="170" w:type="dxa"/>
              <w:start w:w="210" w:type="dxa"/>
              <w:bottom w:w="170" w:type="dxa"/>
              <w:end w:w="210" w:type="dxa"/>
            </w:tcMar>
          </w:tcPr>
          <w:p>
            <w:r>
              <w:rPr>
                <w:b/>
                <w:color w:val="17324D"/>
                <w:sz w:val="18"/>
              </w:rPr>
              <w:t>A BETTER COMPARISON</w:t>
            </w:r>
          </w:p>
          <w:p>
            <w:pPr>
              <w:spacing w:after="0"/>
            </w:pPr>
            <w:r>
              <w:t>Do not compare rent alone. Compare total lifestyle value: housing + mobility + time + healthcare exposure + safety + the private spending needed to compensate for weak public systems.</w:t>
            </w:r>
          </w:p>
        </w:tc>
      </w:tr>
    </w:tbl>
    <w:p>
      <w:pPr>
        <w:pStyle w:val="Heading2"/>
      </w:pPr>
      <w:r>
        <w:t>2. A global-city housing gap still exists - but Tokyo is repricing</w:t>
      </w:r>
    </w:p>
    <w:p>
      <w:r>
        <w:t>The strongest evidence for Tokyo's relative housing value comes from comparable, clearly defined market benchmarks rather than broad cost-of-living anecdotes.</w:t>
      </w:r>
    </w:p>
    <w:p>
      <w:r>
        <w:t>In the Japan Real Estate Institute's October 2025 high-end condominium rent comparison, Tokyo's Moto-Azabu benchmark is set at 100. Sydney stood at 136.6, Singapore at 165.8, Hong Kong at 201.5, London at 278.2 and New York at 279.2. In other words, the JREI benchmark puts London and New York at roughly 2.8 times Tokyo's rent index per square metre after local-currency values are converted into yen.</w:t>
      </w:r>
      <w:r>
        <w:t xml:space="preserve"> (Source: </w:t>
      </w:r>
      <w:hyperlink r:id="rId14">
        <w:r>
          <w:rPr>
            <w:color w:val="2E5D7B"/>
            <w:u w:val="single"/>
          </w:rPr>
          <w:t>JREI Global Property Value/Rent Indices, Oct. 2025</w:t>
        </w:r>
      </w:hyperlink>
      <w:r>
        <w:t>)</w:t>
      </w:r>
    </w:p>
    <w:p>
      <w:r>
        <w:t>The caveat matters. This is a high-end appraisal benchmark across specified assets and cities; it is not an average-rent index for ordinary households. Currency movements also affect the JPY-converted comparison. Still, for international clients comparing prime urban lifestyles, the gap is too large to dismiss.</w:t>
      </w:r>
    </w:p>
    <w:p>
      <w:r>
        <w:drawing>
          <wp:inline xmlns:a="http://schemas.openxmlformats.org/drawingml/2006/main" xmlns:pic="http://schemas.openxmlformats.org/drawingml/2006/picture">
            <wp:extent cx="5943600" cy="3302000"/>
            <wp:docPr id="1" name="Picture 1"/>
            <wp:cNvGraphicFramePr>
              <a:graphicFrameLocks noChangeAspect="1"/>
            </wp:cNvGraphicFramePr>
            <a:graphic>
              <a:graphicData uri="http://schemas.openxmlformats.org/drawingml/2006/picture">
                <pic:pic>
                  <pic:nvPicPr>
                    <pic:cNvPr id="0" name="japan-quiet-reawakening-chart-01.png"/>
                    <pic:cNvPicPr/>
                  </pic:nvPicPr>
                  <pic:blipFill>
                    <a:blip r:embed="rId15"/>
                    <a:stretch>
                      <a:fillRect/>
                    </a:stretch>
                  </pic:blipFill>
                  <pic:spPr>
                    <a:xfrm>
                      <a:off x="0" y="0"/>
                      <a:ext cx="5943600" cy="3302000"/>
                    </a:xfrm>
                    <a:prstGeom prst="rect"/>
                  </pic:spPr>
                </pic:pic>
              </a:graphicData>
            </a:graphic>
          </wp:inline>
        </w:drawing>
      </w:r>
    </w:p>
    <w:p>
      <w:pPr>
        <w:jc w:val="center"/>
      </w:pPr>
      <w:r>
        <w:rPr>
          <w:i/>
          <w:color w:val="6D7781"/>
          <w:sz w:val="17"/>
        </w:rPr>
        <w:t>Figure 1. High-end condominium rent index, October 2025. Tokyo Moto-Azabu = 100. Source: JREI. This is a high-end appraisal benchmark, not average household rent.</w:t>
      </w:r>
    </w:p>
    <w:p>
      <w:r>
        <w:t>The value gap is not static. Savills reported that average rents in its Tokyo 23-ward survey universe reached ¥4,698 per square metre in Q1 2026, up 3.3% year on year. In the central five wards, average rents reached ¥5,751 per square metre, up 4.1% year on year. Tokyo can still look relatively inexpensive beside peer cities while becoming more expensive on its own terms.</w:t>
      </w:r>
      <w:r>
        <w:t xml:space="preserve"> (Source: </w:t>
      </w:r>
      <w:hyperlink r:id="rId16">
        <w:r>
          <w:rPr>
            <w:color w:val="2E5D7B"/>
            <w:u w:val="single"/>
          </w:rPr>
          <w:t>Savills, Tokyo Residential Leasing Q1/2026</w:t>
        </w:r>
      </w:hyperlink>
      <w:r>
        <w:t>)</w:t>
      </w:r>
    </w:p>
    <w:p>
      <w:r>
        <w:drawing>
          <wp:inline xmlns:a="http://schemas.openxmlformats.org/drawingml/2006/main" xmlns:pic="http://schemas.openxmlformats.org/drawingml/2006/picture">
            <wp:extent cx="5715000" cy="3334548"/>
            <wp:docPr id="2" name="Picture 2"/>
            <wp:cNvGraphicFramePr>
              <a:graphicFrameLocks noChangeAspect="1"/>
            </wp:cNvGraphicFramePr>
            <a:graphic>
              <a:graphicData uri="http://schemas.openxmlformats.org/drawingml/2006/picture">
                <pic:pic>
                  <pic:nvPicPr>
                    <pic:cNvPr id="0" name="japan-quiet-reawakening-chart-03.png"/>
                    <pic:cNvPicPr/>
                  </pic:nvPicPr>
                  <pic:blipFill>
                    <a:blip r:embed="rId17"/>
                    <a:stretch>
                      <a:fillRect/>
                    </a:stretch>
                  </pic:blipFill>
                  <pic:spPr>
                    <a:xfrm>
                      <a:off x="0" y="0"/>
                      <a:ext cx="5715000" cy="3334548"/>
                    </a:xfrm>
                    <a:prstGeom prst="rect"/>
                  </pic:spPr>
                </pic:pic>
              </a:graphicData>
            </a:graphic>
          </wp:inline>
        </w:drawing>
      </w:r>
    </w:p>
    <w:p>
      <w:pPr>
        <w:jc w:val="center"/>
      </w:pPr>
      <w:r>
        <w:rPr>
          <w:i/>
          <w:color w:val="6D7781"/>
          <w:sz w:val="17"/>
        </w:rPr>
        <w:t>Figure 2. Tokyo residential rent levels and year-on-year growth in Q1 2026. Source: Savills.</w:t>
      </w:r>
    </w:p>
    <w:tbl>
      <w:tblPr>
        <w:tblW w:type="auto" w:w="0"/>
        <w:jc w:val="center"/>
        <w:tblLook w:firstColumn="1" w:firstRow="1" w:lastColumn="0" w:lastRow="0" w:noHBand="0" w:noVBand="1" w:val="04A0"/>
      </w:tblPr>
      <w:tblGrid>
        <w:gridCol w:w="9994"/>
      </w:tblGrid>
      <w:tr>
        <w:tc>
          <w:tcPr>
            <w:tcW w:type="dxa" w:w="9994"/>
            <w:shd w:fill="F3F6F8"/>
            <w:tcMar>
              <w:top w:w="170" w:type="dxa"/>
              <w:start w:w="210" w:type="dxa"/>
              <w:bottom w:w="170" w:type="dxa"/>
              <w:end w:w="210" w:type="dxa"/>
            </w:tcMar>
          </w:tcPr>
          <w:p>
            <w:r>
              <w:rPr>
                <w:b/>
                <w:color w:val="17324D"/>
                <w:sz w:val="18"/>
              </w:rPr>
              <w:t>THE PRACTICAL IMPLICATION</w:t>
            </w:r>
          </w:p>
          <w:p>
            <w:pPr>
              <w:spacing w:after="0"/>
            </w:pPr>
            <w:r>
              <w:t>Good value today does not mean guaranteed cheapness tomorrow. Relative affordability and domestic repricing can coexist.</w:t>
            </w:r>
          </w:p>
        </w:tc>
      </w:tr>
    </w:tbl>
    <w:p>
      <w:pPr>
        <w:pStyle w:val="Heading2"/>
      </w:pPr>
      <w:r>
        <w:t>3. Is the frozen economy finally moving?</w:t>
      </w:r>
    </w:p>
    <w:p>
      <w:r>
        <w:t>Japan's macro story is changing, but the change should be described carefully. The clearest signal is wages. Rengo's final tally for the 2026 spring wage negotiations showed an average increase of 5.01% among affiliated companies, after 5.25% in 2025 and 5.10% in 2024. Three consecutive years around 5% do not erase decades of wage stagnation, but they are difficult to treat as noise.</w:t>
      </w:r>
      <w:r>
        <w:t xml:space="preserve"> (Source: </w:t>
      </w:r>
      <w:hyperlink r:id="rId18">
        <w:r>
          <w:rPr>
            <w:color w:val="2E5D7B"/>
            <w:u w:val="single"/>
          </w:rPr>
          <w:t>Reuters, 3 July 2026</w:t>
        </w:r>
      </w:hyperlink>
      <w:r>
        <w:t>)</w:t>
      </w:r>
    </w:p>
    <w:p>
      <w:r>
        <w:drawing>
          <wp:inline xmlns:a="http://schemas.openxmlformats.org/drawingml/2006/main" xmlns:pic="http://schemas.openxmlformats.org/drawingml/2006/picture">
            <wp:extent cx="5715000" cy="3334548"/>
            <wp:docPr id="3" name="Picture 3"/>
            <wp:cNvGraphicFramePr>
              <a:graphicFrameLocks noChangeAspect="1"/>
            </wp:cNvGraphicFramePr>
            <a:graphic>
              <a:graphicData uri="http://schemas.openxmlformats.org/drawingml/2006/picture">
                <pic:pic>
                  <pic:nvPicPr>
                    <pic:cNvPr id="0" name="japan-quiet-reawakening-chart-02.png"/>
                    <pic:cNvPicPr/>
                  </pic:nvPicPr>
                  <pic:blipFill>
                    <a:blip r:embed="rId19"/>
                    <a:stretch>
                      <a:fillRect/>
                    </a:stretch>
                  </pic:blipFill>
                  <pic:spPr>
                    <a:xfrm>
                      <a:off x="0" y="0"/>
                      <a:ext cx="5715000" cy="3334548"/>
                    </a:xfrm>
                    <a:prstGeom prst="rect"/>
                  </pic:spPr>
                </pic:pic>
              </a:graphicData>
            </a:graphic>
          </wp:inline>
        </w:drawing>
      </w:r>
    </w:p>
    <w:p>
      <w:pPr>
        <w:jc w:val="center"/>
      </w:pPr>
      <w:r>
        <w:rPr>
          <w:i/>
          <w:color w:val="6D7781"/>
          <w:sz w:val="17"/>
        </w:rPr>
        <w:t>Figure 3. Rengo-affiliated spring wage settlements, 2024-2026. Source: Reuters reporting of Rengo final tallies.</w:t>
      </w:r>
    </w:p>
    <w:p>
      <w:r>
        <w:t>The OECD's June 2026 outlook is a useful reality check. It projects real GDP growth of 0.6% in 2026 and 0.8% in 2027. That is moderate growth, not a conventional boom. At the same time, the OECD expects domestic demand to remain the main driver, with wage growth supporting consumption and high corporate profits and policy support helping investment.</w:t>
      </w:r>
      <w:r>
        <w:t xml:space="preserve"> (Source: </w:t>
      </w:r>
      <w:hyperlink r:id="rId20">
        <w:r>
          <w:rPr>
            <w:color w:val="2E5D7B"/>
            <w:u w:val="single"/>
          </w:rPr>
          <w:t>OECD Economic Outlook, June 2026</w:t>
        </w:r>
      </w:hyperlink>
      <w:r>
        <w:t>)</w:t>
      </w:r>
    </w:p>
    <w:p>
      <w:r>
        <w:t>The more interesting question, therefore, is not whether Japan will suddenly produce emerging-market growth rates. It is whether a mature economy can move from a long period of low nominal growth and underinvestment into a durable cycle of wages, pricing power, capital expenditure and productivity investment. That is a different kind of reawakening.</w:t>
      </w:r>
    </w:p>
    <w:p>
      <w:pPr>
        <w:pStyle w:val="Heading2"/>
      </w:pPr>
      <w:r>
        <w:t>4. A policy shift from caution toward investment</w:t>
      </w:r>
    </w:p>
    <w:p>
      <w:r>
        <w:t>Japan's 2026 Growth Strategy draft explicitly tries to break with chronic underinvestment. Across 17 strategic fields and 62 major products and technologies, the policy framework maps more than ¥370 trillion in cumulative public-private domestic investment through FY2040. The number is a roadmap and ambition, not cash already committed or guaranteed to be realised.</w:t>
      </w:r>
      <w:r>
        <w:t xml:space="preserve"> (Source: </w:t>
      </w:r>
      <w:hyperlink r:id="rId21">
        <w:r>
          <w:rPr>
            <w:color w:val="2E5D7B"/>
            <w:u w:val="single"/>
          </w:rPr>
          <w:t>Japan Growth Strategy draft, June 2026</w:t>
        </w:r>
      </w:hyperlink>
      <w:r>
        <w:t>)</w:t>
      </w:r>
    </w:p>
    <w:p>
      <w:r>
        <w:t>The scale becomes more concrete in AI and semiconductors. METI's industrial strategy calls for at least ¥10 trillion in public support for AI and semiconductors by FY2030, with the aim of encouraging more than ¥50 trillion in public-private investment over ten years and generating an estimated economic ripple effect of about ¥160 trillion. These figures have different scopes and should not be added mechanically, but they show the direction of policy: rebuilding production capacity, digital infrastructure and strategic technology supply chains.</w:t>
      </w:r>
      <w:r>
        <w:t xml:space="preserve"> (Source: </w:t>
      </w:r>
      <w:hyperlink r:id="rId22">
        <w:r>
          <w:rPr>
            <w:color w:val="2E5D7B"/>
            <w:u w:val="single"/>
          </w:rPr>
          <w:t>METI, Industrial Structure in 2040</w:t>
        </w:r>
      </w:hyperlink>
      <w:r>
        <w:t>)</w:t>
      </w:r>
    </w:p>
    <w:p>
      <w:r>
        <w:t>This matters beyond semiconductor factories. Large capital programs create second-order demand for engineering, software, construction, data centres, energy systems, logistics, business services, housing and urban infrastructure. The economic opportunity is often found not only in the headline industry but in the networks built around it.</w:t>
      </w:r>
    </w:p>
    <w:p>
      <w:pPr>
        <w:pStyle w:val="Heading2"/>
      </w:pPr>
      <w:r>
        <w:t>5. The world is coming to Japan - and spending more</w:t>
      </w:r>
    </w:p>
    <w:p>
      <w:r>
        <w:t>International demand is another structural change. Japan welcomed 42.68 million international visitors in 2025, up from 36.87 million in 2024 and a new annual record.</w:t>
      </w:r>
      <w:r>
        <w:t xml:space="preserve"> (Source: </w:t>
      </w:r>
      <w:hyperlink r:id="rId23">
        <w:r>
          <w:rPr>
            <w:color w:val="2E5D7B"/>
            <w:u w:val="single"/>
          </w:rPr>
          <w:t>JNTO, 2025 visitor statistics</w:t>
        </w:r>
      </w:hyperlink>
      <w:r>
        <w:t>)</w:t>
      </w:r>
    </w:p>
    <w:p>
      <w:r>
        <w:t>The Japan Tourism Agency's final 2025 estimate puts inbound travel spending at ¥9.4549 trillion, up 16.4% from 2024, with average spending of about ¥229,000 per general visitor. Tourism is not the same as permanent residential demand, but it is now a large service-export channel affecting hotels, retail, restaurants, transport, entertainment and selected property markets.</w:t>
      </w:r>
      <w:r>
        <w:t xml:space="preserve"> (Source: </w:t>
      </w:r>
      <w:hyperlink r:id="rId24">
        <w:r>
          <w:rPr>
            <w:color w:val="2E5D7B"/>
            <w:u w:val="single"/>
          </w:rPr>
          <w:t>Japan Tourism Agency, 2025 final inbound spending</w:t>
        </w:r>
      </w:hyperlink>
      <w:r>
        <w:t>)</w:t>
      </w:r>
    </w:p>
    <w:p>
      <w:r>
        <w:t>Japan is also actively seeking more foreign capital. The government has set a target of reaching a ¥120 trillion inward FDI stock balance by 2030. A target is not an outcome, but it signals a policy preference for bringing more capital, talent and business activity into the economy.</w:t>
      </w:r>
      <w:r>
        <w:t xml:space="preserve"> (Source: </w:t>
      </w:r>
      <w:hyperlink r:id="rId25">
        <w:r>
          <w:rPr>
            <w:color w:val="2E5D7B"/>
            <w:u w:val="single"/>
          </w:rPr>
          <w:t>Ministry of Foreign Affairs, FDI policy</w:t>
        </w:r>
      </w:hyperlink>
      <w:r>
        <w:t>)</w:t>
      </w:r>
    </w:p>
    <w:tbl>
      <w:tblPr>
        <w:tblW w:type="auto" w:w="0"/>
        <w:jc w:val="center"/>
        <w:tblLook w:firstColumn="1" w:firstRow="1" w:lastColumn="0" w:lastRow="0" w:noHBand="0" w:noVBand="1" w:val="04A0"/>
      </w:tblPr>
      <w:tblGrid>
        <w:gridCol w:w="9994"/>
      </w:tblGrid>
      <w:tr>
        <w:tc>
          <w:tcPr>
            <w:tcW w:type="dxa" w:w="9994"/>
            <w:shd w:fill="F3F6F8"/>
            <w:tcMar>
              <w:top w:w="170" w:type="dxa"/>
              <w:start w:w="210" w:type="dxa"/>
              <w:bottom w:w="170" w:type="dxa"/>
              <w:end w:w="210" w:type="dxa"/>
            </w:tcMar>
          </w:tcPr>
          <w:p>
            <w:r>
              <w:rPr>
                <w:b/>
                <w:color w:val="17324D"/>
                <w:sz w:val="18"/>
              </w:rPr>
              <w:t>WHAT IS CHANGING</w:t>
            </w:r>
          </w:p>
          <w:p>
            <w:pPr>
              <w:spacing w:after="0"/>
            </w:pPr>
            <w:r>
              <w:t>Japan is becoming more internationally consumed, financed and staffed. For international residents and businesses, the opportunity often lies at the intersection: Japan × language × technology × cross-border operations × local execution.</w:t>
            </w:r>
          </w:p>
        </w:tc>
      </w:tr>
    </w:tbl>
    <w:p>
      <w:pPr>
        <w:pStyle w:val="Heading2"/>
      </w:pPr>
      <w:r>
        <w:t>6. What does this mean for Tokyo residential real estate?</w:t>
      </w:r>
    </w:p>
    <w:p>
      <w:r>
        <w:t>Japan's national population decline does not produce one uniform housing market. CBRE notes that 30% of the population is already concentrated in the 21 major cities and expects urbanisation to intensify as people continue to move toward areas with jobs. It therefore expects stable rental demand to persist in urban areas even as the national population ages and declines.</w:t>
      </w:r>
      <w:r>
        <w:t xml:space="preserve"> (Source: </w:t>
      </w:r>
      <w:hyperlink r:id="rId26">
        <w:r>
          <w:rPr>
            <w:color w:val="2E5D7B"/>
            <w:u w:val="single"/>
          </w:rPr>
          <w:t>CBRE Japan Rental Housing, Part 1, 2026</w:t>
        </w:r>
      </w:hyperlink>
      <w:r>
        <w:t>)</w:t>
      </w:r>
    </w:p>
    <w:p>
      <w:r>
        <w:t>That does not mean every Tokyo property is attractive. The useful unit of analysis is smaller: the station catchment, building quality, layout, management, seismic standards, tenant profile, financing conditions and the depth of future demand.</w:t>
      </w:r>
    </w:p>
    <w:p>
      <w:pPr>
        <w:pStyle w:val="Heading3"/>
      </w:pPr>
      <w:r>
        <w:t>For buyers</w:t>
      </w:r>
    </w:p>
    <w:p>
      <w:r>
        <w:t>Relative global value can be real while purchase prices and rents are rising. Focus on properties where daily utility is difficult to replicate: strong station access, coherent neighborhood services, durable building management and layouts suited to identifiable demand. A discount alone is not a thesis.</w:t>
      </w:r>
    </w:p>
    <w:p>
      <w:pPr>
        <w:pStyle w:val="Heading3"/>
      </w:pPr>
      <w:r>
        <w:t>For sellers</w:t>
      </w:r>
    </w:p>
    <w:p>
      <w:r>
        <w:t>A broader international buyer pool increases the value of presentation and documentation. Clear bilingual materials, defensible pricing, building-management records and a well-organised transaction process can reduce friction. International demand does not eliminate price sensitivity; it rewards transparency.</w:t>
      </w:r>
    </w:p>
    <w:p>
      <w:pPr>
        <w:pStyle w:val="Heading3"/>
      </w:pPr>
      <w:r>
        <w:t>For investors</w:t>
      </w:r>
    </w:p>
    <w:p>
      <w:r>
        <w:t>The national demographic story is too blunt for asset selection. Urban concentration, household structure and foreign inflows can support rental demand in major cities, but the outcomes diverge sharply by submarket and product type. Underwrite the micro-market first and use the macro story as context, not a substitute for due diligence.</w:t>
      </w:r>
    </w:p>
    <w:p>
      <w:pPr>
        <w:pStyle w:val="Heading2"/>
      </w:pPr>
      <w:r>
        <w:t>7. Reality check: a reawakening is not a guaranteed boom</w:t>
      </w:r>
    </w:p>
    <w:p>
      <w:r>
        <w:t>The opportunity case has real constraints. OECD projections remain moderate. Japan is exposed to imported-energy shocks. Public debt is large. Higher construction costs, higher interest rates and rising urban rents can weaken affordability. Tourism growth creates congestion and political pressure in selected destinations. The yen can move in both directions, changing foreign-currency comparisons quickly.</w:t>
      </w:r>
      <w:r>
        <w:t xml:space="preserve"> (Source: </w:t>
      </w:r>
      <w:hyperlink r:id="rId20">
        <w:r>
          <w:rPr>
            <w:color w:val="2E5D7B"/>
            <w:u w:val="single"/>
          </w:rPr>
          <w:t>OECD Economic Outlook, June 2026</w:t>
        </w:r>
      </w:hyperlink>
      <w:r>
        <w:t>)</w:t>
      </w:r>
    </w:p>
    <w:p>
      <w:r>
        <w:t>Industrial policy also carries execution risk. Public support does not guarantee globally competitive companies, and strategic projects can be delayed by technology, energy, talent or cost constraints. The correct conclusion is not that Japan has solved its structural problems. The opportunity may exist precisely because a highly developed economy is being forced to reform, invest and open in response to those pressures.</w:t>
      </w:r>
    </w:p>
    <w:p>
      <w:pPr>
        <w:pStyle w:val="Heading2"/>
      </w:pPr>
      <w:r>
        <w:t>8. GAISAPP perspective: selectivity over slogans</w:t>
      </w:r>
    </w:p>
    <w:p>
      <w:r>
        <w:t>The most important question is not whether 'Japan will rise' in the abstract. It is which locations, building types and demand corridors are positioned to benefit from Japan's changing economic geography.</w:t>
      </w:r>
    </w:p>
    <w:p>
      <w:r>
        <w:t>For Tokyo residential property, we look for the overlap of four forces: global-city utility, constrained quality supply, urban concentration and durable international or domestic demand. That is a more useful framework than buying simply because the yen looks weak or because a national headline is positive.</w:t>
      </w:r>
    </w:p>
    <w:p>
      <w:r>
        <w:t>Japan's quiet reawakening is best understood as a change in direction rather than a promise of speed. For residents, that direction means a world-class daily environment that still offers unusual relative value in selected segments. For investors and business builders, it means a mature economy with more capital, more wage pressure, more international demand and a stronger reason to invest in productivity. The opportunity is real. So is the need to choose carefully.</w:t>
      </w:r>
    </w:p>
    <w:p>
      <w:pPr>
        <w:pStyle w:val="Heading2"/>
      </w:pPr>
      <w:r>
        <w:t>Private Advisory</w:t>
      </w:r>
    </w:p>
    <w:tbl>
      <w:tblPr>
        <w:tblW w:type="auto" w:w="0"/>
        <w:jc w:val="center"/>
        <w:tblLook w:firstColumn="1" w:firstRow="1" w:lastColumn="0" w:lastRow="0" w:noHBand="0" w:noVBand="1" w:val="04A0"/>
      </w:tblPr>
      <w:tblGrid>
        <w:gridCol w:w="9994"/>
      </w:tblGrid>
      <w:tr>
        <w:tc>
          <w:tcPr>
            <w:tcW w:type="dxa" w:w="9994"/>
            <w:shd w:fill="17324D"/>
            <w:tcMar>
              <w:top w:w="220" w:type="dxa"/>
              <w:start w:w="240" w:type="dxa"/>
              <w:bottom w:w="220" w:type="dxa"/>
              <w:end w:w="240" w:type="dxa"/>
            </w:tcMar>
          </w:tcPr>
          <w:p>
            <w:r>
              <w:rPr>
                <w:b/>
                <w:color w:val="FFFFFF"/>
                <w:sz w:val="26"/>
              </w:rPr>
              <w:t>Positioning for Japan’s next cycle requires local diligence, not a macro slogan.</w:t>
            </w:r>
          </w:p>
          <w:p>
            <w:r>
              <w:rPr>
                <w:color w:val="EBF0F4"/>
              </w:rPr>
              <w:t>GAISAPP helps international clients evaluate Tokyo residential opportunities through bilingual sourcing, neighborhood analysis, transaction coordination and long-term ownership planning.</w:t>
            </w:r>
          </w:p>
          <w:p>
            <w:hyperlink r:id="rId27">
              <w:r>
                <w:rPr>
                  <w:color w:val="E6C276"/>
                </w:rPr>
                <w:t>Book a Private Consultation →</w:t>
              </w:r>
            </w:hyperlink>
          </w:p>
        </w:tc>
      </w:tr>
    </w:tbl>
    <w:p>
      <w:pPr>
        <w:pStyle w:val="Heading2"/>
      </w:pPr>
      <w:r>
        <w:t>Disclaimer</w:t>
      </w:r>
    </w:p>
    <w:p>
      <w:r>
        <w:t>This article is general information and the personal view of the author; it is not financial, legal or tax advice. Market data are stated as of the dates of the cited sources and may be revised. Rankings use different methodologies. JREI comparisons shown here are high-end appraisal benchmarks and should not be read as average household rents. Government investment figures and FDI figures include policy targets, roadmaps or scenarios and are not guaranteed outcomes. Property prices, availability and transaction conditions must be independently confirmed. Real-estate execution, legal, tax, financing and registration matters should be handled by qualified professionals where required.</w:t>
      </w:r>
    </w:p>
    <w:p>
      <w:pPr>
        <w:pStyle w:val="Heading1"/>
      </w:pPr>
      <w:r>
        <w:t>SEO &amp; Activities Card Copy</w:t>
      </w:r>
    </w:p>
    <w:p>
      <w:r>
        <w:rPr>
          <w:b/>
          <w:color w:val="17324D"/>
        </w:rPr>
        <w:t xml:space="preserve">SEO title: </w:t>
      </w:r>
      <w:r>
        <w:t>Japan's Quiet Reawakening | GAISAPP</w:t>
      </w:r>
    </w:p>
    <w:p>
      <w:r>
        <w:rPr>
          <w:b/>
          <w:color w:val="17324D"/>
        </w:rPr>
        <w:t xml:space="preserve">Meta description: </w:t>
      </w:r>
      <w:r>
        <w:t>Why Tokyo combines top-tier quality of life with relative global value - and how wages, investment, tourism and FDI are reshaping Japan in 2026.</w:t>
      </w:r>
    </w:p>
    <w:p>
      <w:r>
        <w:rPr>
          <w:b/>
          <w:color w:val="17324D"/>
        </w:rPr>
        <w:t xml:space="preserve">og:title: </w:t>
      </w:r>
      <w:r>
        <w:t>Japan's Quiet Reawakening: World-Class Living and a New Economic Cycle</w:t>
      </w:r>
    </w:p>
    <w:p>
      <w:r>
        <w:rPr>
          <w:b/>
          <w:color w:val="17324D"/>
        </w:rPr>
        <w:t xml:space="preserve">og:description: </w:t>
      </w:r>
      <w:r>
        <w:t>A source-backed look at Tokyo lifestyle value and the economic forces changing Japan in 2026.</w:t>
      </w:r>
    </w:p>
    <w:p>
      <w:r>
        <w:rPr>
          <w:b/>
          <w:color w:val="17324D"/>
        </w:rPr>
        <w:t xml:space="preserve">og:image: </w:t>
      </w:r>
      <w:r>
        <w:t>assets/img/articles/japan-quiet-reawakening-hero.jpg</w:t>
      </w:r>
    </w:p>
    <w:p>
      <w:r>
        <w:rPr>
          <w:b/>
          <w:color w:val="17324D"/>
        </w:rPr>
        <w:t xml:space="preserve">Article card category: </w:t>
      </w:r>
      <w:r>
        <w:t>LIVING IN JAPAN / MARKET INSIGHT</w:t>
      </w:r>
    </w:p>
    <w:p>
      <w:r>
        <w:rPr>
          <w:b/>
          <w:color w:val="17324D"/>
        </w:rPr>
        <w:t xml:space="preserve">Article card date: </w:t>
      </w:r>
      <w:r>
        <w:t>06 Jul 2026</w:t>
      </w:r>
    </w:p>
    <w:p>
      <w:r>
        <w:rPr>
          <w:b/>
          <w:color w:val="17324D"/>
        </w:rPr>
        <w:t xml:space="preserve">Article card title: </w:t>
      </w:r>
      <w:r>
        <w:t>Japan's Quiet Reawakening</w:t>
      </w:r>
    </w:p>
    <w:p>
      <w:r>
        <w:rPr>
          <w:b/>
          <w:color w:val="17324D"/>
        </w:rPr>
        <w:t xml:space="preserve">Article card excerpt: </w:t>
      </w:r>
      <w:r>
        <w:t>Tokyo combines top-tier urban quality with a high-end housing cost gap versus New York and London. Meanwhile, rising wages, strategic investment, tourism and FDI are opening a new chapter for Japan.</w:t>
      </w:r>
    </w:p>
    <w:p>
      <w:r>
        <w:rPr>
          <w:b/>
          <w:color w:val="17324D"/>
        </w:rPr>
        <w:t xml:space="preserve">Article card meta: </w:t>
      </w:r>
      <w:r>
        <w:t>Zun XaXeXu  ·  11 min  ·  Source-backed</w:t>
      </w:r>
    </w:p>
    <w:p>
      <w:r>
        <w:rPr>
          <w:b/>
          <w:color w:val="17324D"/>
        </w:rPr>
        <w:t xml:space="preserve">Right-rail desk note: </w:t>
      </w:r>
      <w:r>
        <w:t>Japan's opportunity is not a simplistic boom thesis. The stronger story is the overlap of relative global value, urban concentration and a shift back toward wages and investment.</w:t>
      </w:r>
    </w:p>
    <w:p>
      <w:pPr>
        <w:pStyle w:val="Heading2"/>
      </w:pPr>
      <w:r>
        <w:t>Chart Asset Map</w:t>
      </w:r>
    </w:p>
    <w:tbl>
      <w:tblPr>
        <w:tblStyle w:val="TableGrid"/>
        <w:tblW w:type="auto" w:w="0"/>
        <w:jc w:val="center"/>
        <w:tblLook w:firstColumn="1" w:firstRow="1" w:lastColumn="0" w:lastRow="0" w:noHBand="0" w:noVBand="1" w:val="04A0"/>
      </w:tblPr>
      <w:tblGrid>
        <w:gridCol w:w="2498"/>
        <w:gridCol w:w="2498"/>
        <w:gridCol w:w="2498"/>
        <w:gridCol w:w="2498"/>
      </w:tblGrid>
      <w:tr>
        <w:tc>
          <w:tcPr>
            <w:tcW w:type="dxa" w:w="2498"/>
            <w:shd w:fill="17324D"/>
          </w:tcPr>
          <w:p>
            <w:r>
              <w:rPr>
                <w:b/>
                <w:color w:val="FFFFFF"/>
              </w:rPr>
              <w:t>Asset</w:t>
            </w:r>
          </w:p>
        </w:tc>
        <w:tc>
          <w:tcPr>
            <w:tcW w:type="dxa" w:w="2498"/>
            <w:shd w:fill="17324D"/>
          </w:tcPr>
          <w:p>
            <w:r>
              <w:rPr>
                <w:b/>
                <w:color w:val="FFFFFF"/>
              </w:rPr>
              <w:t>Web filename</w:t>
            </w:r>
          </w:p>
        </w:tc>
        <w:tc>
          <w:tcPr>
            <w:tcW w:type="dxa" w:w="2498"/>
            <w:shd w:fill="17324D"/>
          </w:tcPr>
          <w:p>
            <w:r>
              <w:rPr>
                <w:b/>
                <w:color w:val="FFFFFF"/>
              </w:rPr>
              <w:t>Purpose</w:t>
            </w:r>
          </w:p>
        </w:tc>
        <w:tc>
          <w:tcPr>
            <w:tcW w:type="dxa" w:w="2498"/>
            <w:shd w:fill="17324D"/>
          </w:tcPr>
          <w:p>
            <w:r>
              <w:rPr>
                <w:b/>
                <w:color w:val="FFFFFF"/>
              </w:rPr>
              <w:t>Primary source</w:t>
            </w:r>
          </w:p>
        </w:tc>
      </w:tr>
      <w:tr>
        <w:tc>
          <w:tcPr>
            <w:tcW w:type="dxa" w:w="2498"/>
            <w:tcMar>
              <w:top w:w="80" w:type="dxa"/>
              <w:start w:w="90" w:type="dxa"/>
              <w:bottom w:w="80" w:type="dxa"/>
              <w:end w:w="90" w:type="dxa"/>
            </w:tcMar>
          </w:tcPr>
          <w:p>
            <w:r>
              <w:t>Chart 01</w:t>
            </w:r>
          </w:p>
        </w:tc>
        <w:tc>
          <w:tcPr>
            <w:tcW w:type="dxa" w:w="2498"/>
            <w:tcMar>
              <w:top w:w="80" w:type="dxa"/>
              <w:start w:w="90" w:type="dxa"/>
              <w:bottom w:w="80" w:type="dxa"/>
              <w:end w:w="90" w:type="dxa"/>
            </w:tcMar>
          </w:tcPr>
          <w:p>
            <w:r>
              <w:t>japan-quiet-reawakening-chart-01.png</w:t>
            </w:r>
          </w:p>
        </w:tc>
        <w:tc>
          <w:tcPr>
            <w:tcW w:type="dxa" w:w="2498"/>
            <w:tcMar>
              <w:top w:w="80" w:type="dxa"/>
              <w:start w:w="90" w:type="dxa"/>
              <w:bottom w:w="80" w:type="dxa"/>
              <w:end w:w="90" w:type="dxa"/>
            </w:tcMar>
          </w:tcPr>
          <w:p>
            <w:r>
              <w:t>Global high-end rent benchmark</w:t>
            </w:r>
          </w:p>
        </w:tc>
        <w:tc>
          <w:tcPr>
            <w:tcW w:type="dxa" w:w="2498"/>
            <w:tcMar>
              <w:top w:w="80" w:type="dxa"/>
              <w:start w:w="90" w:type="dxa"/>
              <w:bottom w:w="80" w:type="dxa"/>
              <w:end w:w="90" w:type="dxa"/>
            </w:tcMar>
          </w:tcPr>
          <w:p>
            <w:r>
              <w:t>JREI</w:t>
            </w:r>
          </w:p>
        </w:tc>
      </w:tr>
      <w:tr>
        <w:tc>
          <w:tcPr>
            <w:tcW w:type="dxa" w:w="2498"/>
            <w:tcMar>
              <w:top w:w="80" w:type="dxa"/>
              <w:start w:w="90" w:type="dxa"/>
              <w:bottom w:w="80" w:type="dxa"/>
              <w:end w:w="90" w:type="dxa"/>
            </w:tcMar>
          </w:tcPr>
          <w:p>
            <w:r>
              <w:t>Chart 02</w:t>
            </w:r>
          </w:p>
        </w:tc>
        <w:tc>
          <w:tcPr>
            <w:tcW w:type="dxa" w:w="2498"/>
            <w:tcMar>
              <w:top w:w="80" w:type="dxa"/>
              <w:start w:w="90" w:type="dxa"/>
              <w:bottom w:w="80" w:type="dxa"/>
              <w:end w:w="90" w:type="dxa"/>
            </w:tcMar>
          </w:tcPr>
          <w:p>
            <w:r>
              <w:t>japan-quiet-reawakening-chart-02.png</w:t>
            </w:r>
          </w:p>
        </w:tc>
        <w:tc>
          <w:tcPr>
            <w:tcW w:type="dxa" w:w="2498"/>
            <w:tcMar>
              <w:top w:w="80" w:type="dxa"/>
              <w:start w:w="90" w:type="dxa"/>
              <w:bottom w:w="80" w:type="dxa"/>
              <w:end w:w="90" w:type="dxa"/>
            </w:tcMar>
          </w:tcPr>
          <w:p>
            <w:r>
              <w:t>Three-year wage settlement trend</w:t>
            </w:r>
          </w:p>
        </w:tc>
        <w:tc>
          <w:tcPr>
            <w:tcW w:type="dxa" w:w="2498"/>
            <w:tcMar>
              <w:top w:w="80" w:type="dxa"/>
              <w:start w:w="90" w:type="dxa"/>
              <w:bottom w:w="80" w:type="dxa"/>
              <w:end w:w="90" w:type="dxa"/>
            </w:tcMar>
          </w:tcPr>
          <w:p>
            <w:r>
              <w:t>Reuters / Rengo</w:t>
            </w:r>
          </w:p>
        </w:tc>
      </w:tr>
      <w:tr>
        <w:tc>
          <w:tcPr>
            <w:tcW w:type="dxa" w:w="2498"/>
            <w:tcMar>
              <w:top w:w="80" w:type="dxa"/>
              <w:start w:w="90" w:type="dxa"/>
              <w:bottom w:w="80" w:type="dxa"/>
              <w:end w:w="90" w:type="dxa"/>
            </w:tcMar>
          </w:tcPr>
          <w:p>
            <w:r>
              <w:t>Chart 03</w:t>
            </w:r>
          </w:p>
        </w:tc>
        <w:tc>
          <w:tcPr>
            <w:tcW w:type="dxa" w:w="2498"/>
            <w:tcMar>
              <w:top w:w="80" w:type="dxa"/>
              <w:start w:w="90" w:type="dxa"/>
              <w:bottom w:w="80" w:type="dxa"/>
              <w:end w:w="90" w:type="dxa"/>
            </w:tcMar>
          </w:tcPr>
          <w:p>
            <w:r>
              <w:t>japan-quiet-reawakening-chart-03.png</w:t>
            </w:r>
          </w:p>
        </w:tc>
        <w:tc>
          <w:tcPr>
            <w:tcW w:type="dxa" w:w="2498"/>
            <w:tcMar>
              <w:top w:w="80" w:type="dxa"/>
              <w:start w:w="90" w:type="dxa"/>
              <w:bottom w:w="80" w:type="dxa"/>
              <w:end w:w="90" w:type="dxa"/>
            </w:tcMar>
          </w:tcPr>
          <w:p>
            <w:r>
              <w:t>Tokyo Q1 2026 rent evidence</w:t>
            </w:r>
          </w:p>
        </w:tc>
        <w:tc>
          <w:tcPr>
            <w:tcW w:type="dxa" w:w="2498"/>
            <w:tcMar>
              <w:top w:w="80" w:type="dxa"/>
              <w:start w:w="90" w:type="dxa"/>
              <w:bottom w:w="80" w:type="dxa"/>
              <w:end w:w="90" w:type="dxa"/>
            </w:tcMar>
          </w:tcPr>
          <w:p>
            <w:r>
              <w:t>Savills</w:t>
            </w:r>
          </w:p>
        </w:tc>
      </w:tr>
    </w:tbl>
    <w:p>
      <w:pPr>
        <w:pStyle w:val="Heading1"/>
      </w:pPr>
      <w:r>
        <w:t>Sources &amp; Reference Links</w:t>
      </w:r>
    </w:p>
    <w:p>
      <w:pPr>
        <w:pStyle w:val="ListBullet"/>
      </w:pPr>
      <w:hyperlink r:id="rId10">
        <w:r>
          <w:rPr>
            <w:color w:val="2E5D7B"/>
            <w:u w:val="single"/>
          </w:rPr>
          <w:t>Monocle - How Tokyo made it to the top of the 2026 Quality of Life Survey</w:t>
        </w:r>
      </w:hyperlink>
    </w:p>
    <w:p>
      <w:pPr>
        <w:pStyle w:val="ListBullet"/>
      </w:pPr>
      <w:hyperlink r:id="rId11">
        <w:r>
          <w:rPr>
            <w:color w:val="2E5D7B"/>
            <w:u w:val="single"/>
          </w:rPr>
          <w:t>Mori Memorial Foundation - Global Power City Index 2025</w:t>
        </w:r>
      </w:hyperlink>
    </w:p>
    <w:p>
      <w:pPr>
        <w:pStyle w:val="ListBullet"/>
      </w:pPr>
      <w:hyperlink r:id="rId14">
        <w:r>
          <w:rPr>
            <w:color w:val="2E5D7B"/>
            <w:u w:val="single"/>
          </w:rPr>
          <w:t>Japan Real Estate Institute - Global Property Value/Rent Indices No. 25, Oct. 2025</w:t>
        </w:r>
      </w:hyperlink>
    </w:p>
    <w:p>
      <w:pPr>
        <w:pStyle w:val="ListBullet"/>
      </w:pPr>
      <w:hyperlink r:id="rId12">
        <w:r>
          <w:rPr>
            <w:color w:val="2E5D7B"/>
            <w:u w:val="single"/>
          </w:rPr>
          <w:t>Tokyo Metro - Regular ticket fares</w:t>
        </w:r>
      </w:hyperlink>
    </w:p>
    <w:p>
      <w:pPr>
        <w:pStyle w:val="ListBullet"/>
      </w:pPr>
      <w:hyperlink r:id="rId13">
        <w:r>
          <w:rPr>
            <w:color w:val="2E5D7B"/>
            <w:u w:val="single"/>
          </w:rPr>
          <w:t>MHLW - Health insurance qualification and co-payment guide</w:t>
        </w:r>
      </w:hyperlink>
    </w:p>
    <w:p>
      <w:pPr>
        <w:pStyle w:val="ListBullet"/>
      </w:pPr>
      <w:hyperlink r:id="rId18">
        <w:r>
          <w:rPr>
            <w:color w:val="2E5D7B"/>
            <w:u w:val="single"/>
          </w:rPr>
          <w:t>Reuters - Japan 2026 wage talks final tally</w:t>
        </w:r>
      </w:hyperlink>
    </w:p>
    <w:p>
      <w:pPr>
        <w:pStyle w:val="ListBullet"/>
      </w:pPr>
      <w:hyperlink r:id="rId20">
        <w:r>
          <w:rPr>
            <w:color w:val="2E5D7B"/>
            <w:u w:val="single"/>
          </w:rPr>
          <w:t>OECD - Economic Outlook 2026, Japan</w:t>
        </w:r>
      </w:hyperlink>
    </w:p>
    <w:p>
      <w:pPr>
        <w:pStyle w:val="ListBullet"/>
      </w:pPr>
      <w:hyperlink r:id="rId21">
        <w:r>
          <w:rPr>
            <w:color w:val="2E5D7B"/>
            <w:u w:val="single"/>
          </w:rPr>
          <w:t>Cabinet Secretariat - Japan Growth Strategy draft, June 2026</w:t>
        </w:r>
      </w:hyperlink>
    </w:p>
    <w:p>
      <w:pPr>
        <w:pStyle w:val="ListBullet"/>
      </w:pPr>
      <w:hyperlink r:id="rId22">
        <w:r>
          <w:rPr>
            <w:color w:val="2E5D7B"/>
            <w:u w:val="single"/>
          </w:rPr>
          <w:t>METI - Industrial Structure in 2040 Led by Growth Investment</w:t>
        </w:r>
      </w:hyperlink>
    </w:p>
    <w:p>
      <w:pPr>
        <w:pStyle w:val="ListBullet"/>
      </w:pPr>
      <w:hyperlink r:id="rId23">
        <w:r>
          <w:rPr>
            <w:color w:val="2E5D7B"/>
            <w:u w:val="single"/>
          </w:rPr>
          <w:t>JNTO - 2025 annual visitor statistics</w:t>
        </w:r>
      </w:hyperlink>
    </w:p>
    <w:p>
      <w:pPr>
        <w:pStyle w:val="ListBullet"/>
      </w:pPr>
      <w:hyperlink r:id="rId24">
        <w:r>
          <w:rPr>
            <w:color w:val="2E5D7B"/>
            <w:u w:val="single"/>
          </w:rPr>
          <w:t>Japan Tourism Agency - 2025 final inbound spending</w:t>
        </w:r>
      </w:hyperlink>
    </w:p>
    <w:p>
      <w:pPr>
        <w:pStyle w:val="ListBullet"/>
      </w:pPr>
      <w:hyperlink r:id="rId25">
        <w:r>
          <w:rPr>
            <w:color w:val="2E5D7B"/>
            <w:u w:val="single"/>
          </w:rPr>
          <w:t>MOFA - Foreign Direct Investment in Japan</w:t>
        </w:r>
      </w:hyperlink>
    </w:p>
    <w:p>
      <w:pPr>
        <w:pStyle w:val="ListBullet"/>
      </w:pPr>
      <w:hyperlink r:id="rId16">
        <w:r>
          <w:rPr>
            <w:color w:val="2E5D7B"/>
            <w:u w:val="single"/>
          </w:rPr>
          <w:t>Savills - Tokyo Residential Leasing Q1/2026</w:t>
        </w:r>
      </w:hyperlink>
    </w:p>
    <w:p>
      <w:pPr>
        <w:pStyle w:val="ListBullet"/>
      </w:pPr>
      <w:hyperlink r:id="rId26">
        <w:r>
          <w:rPr>
            <w:color w:val="2E5D7B"/>
            <w:u w:val="single"/>
          </w:rPr>
          <w:t>CBRE - Japan Rental Housing Part 1, 2026</w:t>
        </w:r>
      </w:hyperlink>
    </w:p>
    <w:sectPr w:rsidR="00FC693F" w:rsidRPr="0006063C" w:rsidSect="00034616">
      <w:headerReference w:type="default" r:id="rId9"/>
      <w:footerReference w:type="default" r:id="rId28"/>
      <w:pgSz w:w="12240" w:h="15840"/>
      <w:pgMar w:top="936"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28A91"/>
        <w:sz w:val="16"/>
      </w:rPr>
      <w:t>GAISAPP article source pack  |  Research date: 6 July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6D7781"/>
        <w:sz w:val="16"/>
      </w:rPr>
      <w:t>GAISAPP  |  ARTICLE RESEARCH PACK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24D"/>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7324D"/>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2E5D7B"/>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24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abel">
    <w:name w:val="Label"/>
    <w:pPr>
      <w:spacing w:after="60"/>
    </w:pPr>
    <w:rPr>
      <w:rFonts w:ascii="Aptos" w:hAnsi="Aptos"/>
      <w:b/>
      <w:color w:val="2E5D7B"/>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yperlink" Target="https://monocle.com/affairs/urbanism/qol/why-tokyo-is-best-city-in-quality-of-life-survey/" TargetMode="External"/><Relationship Id="rId11" Type="http://schemas.openxmlformats.org/officeDocument/2006/relationships/hyperlink" Target="https://mori-m-foundation.or.jp/english/ius2/gpci2/index.shtml" TargetMode="External"/><Relationship Id="rId12" Type="http://schemas.openxmlformats.org/officeDocument/2006/relationships/hyperlink" Target="https://www.tokyometro.jp/en/ticket/regular/index.html" TargetMode="External"/><Relationship Id="rId13" Type="http://schemas.openxmlformats.org/officeDocument/2006/relationships/hyperlink" Target="https://www.mhlw.go.jp/content/12400000/001406614.pdf" TargetMode="External"/><Relationship Id="rId14" Type="http://schemas.openxmlformats.org/officeDocument/2006/relationships/hyperlink" Target="https://www.reinet.or.jp/wp-content/uploads/2026/01/published-document_jrei-global-property-value-rent-indices-eng_202510.pdf" TargetMode="External"/><Relationship Id="rId15" Type="http://schemas.openxmlformats.org/officeDocument/2006/relationships/image" Target="media/image1.png"/><Relationship Id="rId16" Type="http://schemas.openxmlformats.org/officeDocument/2006/relationships/hyperlink" Target="https://www.savills.co.jp/research_articles/167577/234394-0" TargetMode="External"/><Relationship Id="rId17" Type="http://schemas.openxmlformats.org/officeDocument/2006/relationships/image" Target="media/image2.png"/><Relationship Id="rId18" Type="http://schemas.openxmlformats.org/officeDocument/2006/relationships/hyperlink" Target="https://www.reuters.com/business/world-at-work/japanese-firms-agree-average-501-pay-hikes-top-union-groups-final-tally-shows-2026-07-03/" TargetMode="External"/><Relationship Id="rId19" Type="http://schemas.openxmlformats.org/officeDocument/2006/relationships/image" Target="media/image3.png"/><Relationship Id="rId20" Type="http://schemas.openxmlformats.org/officeDocument/2006/relationships/hyperlink" Target="https://www.oecd.org/en/publications/oecd-economic-outlook-volume-2026-issue-1_2d1956f0-en/full-report/japan_d6df5896.html" TargetMode="External"/><Relationship Id="rId21" Type="http://schemas.openxmlformats.org/officeDocument/2006/relationships/hyperlink" Target="https://www.cas.go.jp/jp/seisaku/nipponseichosenryaku/kaigi/dai6/shiryou1.pdf" TargetMode="External"/><Relationship Id="rId22" Type="http://schemas.openxmlformats.org/officeDocument/2006/relationships/hyperlink" Target="https://www.meti.go.jp/english/policy/economy/industrial_council/pdf/250603008_01.pdf" TargetMode="External"/><Relationship Id="rId23" Type="http://schemas.openxmlformats.org/officeDocument/2006/relationships/hyperlink" Target="https://www.jnto.go.jp/news/press/20260121_monthly.html" TargetMode="External"/><Relationship Id="rId24" Type="http://schemas.openxmlformats.org/officeDocument/2006/relationships/hyperlink" Target="https://www.mlit.go.jp/kankocho/content/001992584.pdf" TargetMode="External"/><Relationship Id="rId25" Type="http://schemas.openxmlformats.org/officeDocument/2006/relationships/hyperlink" Target="https://www.mofa.go.jp/policy/economy/japan/invest/index.html" TargetMode="External"/><Relationship Id="rId26" Type="http://schemas.openxmlformats.org/officeDocument/2006/relationships/hyperlink" Target="https://www.cbre.co.jp/en/insights/reports/japan-rental-housing-investment-fundamentals-remain-strong-despite-country-s-aging-population" TargetMode="External"/><Relationship Id="rId27" Type="http://schemas.openxmlformats.org/officeDocument/2006/relationships/hyperlink" Target="consultation.html?service=consultation"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